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85" w:rsidRPr="003B4485" w:rsidRDefault="003B4485" w:rsidP="003B4485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3"/>
          <w:szCs w:val="33"/>
        </w:rPr>
      </w:pPr>
      <w:r w:rsidRPr="003B4485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 xml:space="preserve">财政部 </w:t>
      </w:r>
      <w:bookmarkStart w:id="0" w:name="_GoBack"/>
      <w:r w:rsidRPr="003B4485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国家发展改革委关于水利工程质量检测员资格考试考</w:t>
      </w:r>
      <w:proofErr w:type="gramStart"/>
      <w:r w:rsidRPr="003B4485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务</w:t>
      </w:r>
      <w:proofErr w:type="gramEnd"/>
      <w:r w:rsidRPr="003B4485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费有关事项的通知</w:t>
      </w:r>
    </w:p>
    <w:bookmarkEnd w:id="0"/>
    <w:p w:rsidR="003B4485" w:rsidRPr="003B4485" w:rsidRDefault="003B4485" w:rsidP="003B4485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B4485">
        <w:rPr>
          <w:rFonts w:ascii="微软雅黑" w:eastAsia="微软雅黑" w:hAnsi="微软雅黑" w:cs="宋体" w:hint="eastAsia"/>
          <w:color w:val="333333"/>
          <w:kern w:val="0"/>
          <w:szCs w:val="21"/>
        </w:rPr>
        <w:t>【字体：  大  中  小 】     </w:t>
      </w:r>
      <w:r w:rsidRPr="003B4485">
        <w:rPr>
          <w:rFonts w:ascii="微软雅黑" w:eastAsia="微软雅黑" w:hAnsi="微软雅黑" w:cs="宋体"/>
          <w:noProof/>
          <w:color w:val="0000FF"/>
          <w:kern w:val="0"/>
          <w:szCs w:val="21"/>
        </w:rPr>
        <w:drawing>
          <wp:inline distT="0" distB="0" distL="0" distR="0" wp14:anchorId="2923C18D" wp14:editId="2B880F62">
            <wp:extent cx="200025" cy="171450"/>
            <wp:effectExtent l="0" t="0" r="9525" b="0"/>
            <wp:docPr id="1" name="图片 1" descr="http://www.mwr.gov.cn/images/dy_0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wr.gov.cn/images/dy_0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485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  <w:hyperlink r:id="rId6" w:history="1">
        <w:r w:rsidRPr="003B4485">
          <w:rPr>
            <w:rFonts w:ascii="微软雅黑" w:eastAsia="微软雅黑" w:hAnsi="微软雅黑" w:cs="宋体" w:hint="eastAsia"/>
            <w:color w:val="333333"/>
            <w:kern w:val="0"/>
            <w:szCs w:val="21"/>
            <w:u w:val="single"/>
          </w:rPr>
          <w:t>打印</w:t>
        </w:r>
      </w:hyperlink>
      <w:r w:rsidRPr="003B4485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2025-10-20 15:42     来源：财政部网站 </w:t>
      </w:r>
    </w:p>
    <w:p w:rsidR="003B4485" w:rsidRPr="003B4485" w:rsidRDefault="003B4485" w:rsidP="003B4485">
      <w:pPr>
        <w:widowControl/>
        <w:shd w:val="clear" w:color="auto" w:fill="FFFFFF"/>
        <w:spacing w:after="240" w:line="46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财税〔2025〕27号</w:t>
      </w:r>
    </w:p>
    <w:p w:rsidR="003B4485" w:rsidRPr="003B4485" w:rsidRDefault="003B4485" w:rsidP="003B4485">
      <w:pPr>
        <w:widowControl/>
        <w:shd w:val="clear" w:color="auto" w:fill="FFFFFF"/>
        <w:spacing w:after="240" w:line="465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水利部：</w:t>
      </w:r>
    </w:p>
    <w:p w:rsidR="003B4485" w:rsidRPr="003B4485" w:rsidRDefault="003B4485" w:rsidP="003B4485">
      <w:pPr>
        <w:widowControl/>
        <w:shd w:val="clear" w:color="auto" w:fill="FFFFFF"/>
        <w:spacing w:after="240" w:line="465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为规范水利工程质量检测员资格考试考</w:t>
      </w:r>
      <w:proofErr w:type="gramStart"/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务</w:t>
      </w:r>
      <w:proofErr w:type="gramEnd"/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费管理，按照《政府非税收入管理办法》（财税〔2016〕33号）和《行政事业性收费项目审批管理暂行办法》（财综〔2004〕100号）等有关规定，现就有关事项通知如下：</w:t>
      </w:r>
    </w:p>
    <w:p w:rsidR="003B4485" w:rsidRPr="003B4485" w:rsidRDefault="003B4485" w:rsidP="003B4485">
      <w:pPr>
        <w:widowControl/>
        <w:shd w:val="clear" w:color="auto" w:fill="FFFFFF"/>
        <w:spacing w:after="240" w:line="465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一、由水利部人才资源开发中心在组织水利工程质量检测员资格考试时，向报考人员收取考试费。</w:t>
      </w:r>
    </w:p>
    <w:p w:rsidR="003B4485" w:rsidRPr="003B4485" w:rsidRDefault="003B4485" w:rsidP="003B4485">
      <w:pPr>
        <w:widowControl/>
        <w:shd w:val="clear" w:color="auto" w:fill="FFFFFF"/>
        <w:spacing w:after="240" w:line="465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二、水利工程质量检测员资格考试费的收费标准按照《国家发展改革委 财政部关于改革全国性职业资格考试收费标准管理方式的通知》（</w:t>
      </w:r>
      <w:proofErr w:type="gramStart"/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发改价格</w:t>
      </w:r>
      <w:proofErr w:type="gramEnd"/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〔2015〕1217号）规定执行。</w:t>
      </w:r>
    </w:p>
    <w:p w:rsidR="003B4485" w:rsidRPr="003B4485" w:rsidRDefault="003B4485" w:rsidP="003B4485">
      <w:pPr>
        <w:widowControl/>
        <w:shd w:val="clear" w:color="auto" w:fill="FFFFFF"/>
        <w:spacing w:after="240" w:line="465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三、水利部人才资源开发中心收取的考试费全额上缴中央国库，纳入中央财政预算，实行“收支两条线”管理，具体收缴办法按照财政国库集中收缴的有关规定执行。上述考试费收入缴库时使用《非税收入一般缴款书》，填列政府收支分类科目一般公共预算收入水利行政事业性收费收入“考试考</w:t>
      </w:r>
      <w:proofErr w:type="gramStart"/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务</w:t>
      </w:r>
      <w:proofErr w:type="gramEnd"/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费”（103044608）科目。</w:t>
      </w:r>
    </w:p>
    <w:p w:rsidR="003B4485" w:rsidRPr="003B4485" w:rsidRDefault="003B4485" w:rsidP="003B4485">
      <w:pPr>
        <w:widowControl/>
        <w:shd w:val="clear" w:color="auto" w:fill="FFFFFF"/>
        <w:spacing w:after="240" w:line="465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四、收费单位应使用财政部统一监（印）制的非</w:t>
      </w:r>
      <w:proofErr w:type="gramStart"/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税收入类票据</w:t>
      </w:r>
      <w:proofErr w:type="gramEnd"/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。</w:t>
      </w:r>
    </w:p>
    <w:p w:rsidR="003B4485" w:rsidRPr="003B4485" w:rsidRDefault="003B4485" w:rsidP="003B4485">
      <w:pPr>
        <w:widowControl/>
        <w:shd w:val="clear" w:color="auto" w:fill="FFFFFF"/>
        <w:spacing w:after="240" w:line="465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lastRenderedPageBreak/>
        <w:t xml:space="preserve">　　五、收费单位应严格按上述规定执行，不得擅自增加收费项目、扩大收费范围，并自觉接受财政、价格、审计部门的监督检查。</w:t>
      </w:r>
    </w:p>
    <w:p w:rsidR="003B4485" w:rsidRPr="003B4485" w:rsidRDefault="003B4485" w:rsidP="003B4485">
      <w:pPr>
        <w:widowControl/>
        <w:shd w:val="clear" w:color="auto" w:fill="FFFFFF"/>
        <w:spacing w:after="240" w:line="465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六、本文自印发之日起执行。</w:t>
      </w:r>
    </w:p>
    <w:p w:rsidR="003B4485" w:rsidRPr="003B4485" w:rsidRDefault="003B4485" w:rsidP="003B4485">
      <w:pPr>
        <w:widowControl/>
        <w:shd w:val="clear" w:color="auto" w:fill="FFFFFF"/>
        <w:spacing w:after="240" w:line="465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财政部　国家发展改革委</w:t>
      </w:r>
    </w:p>
    <w:p w:rsidR="003B4485" w:rsidRPr="003B4485" w:rsidRDefault="003B4485" w:rsidP="003B4485">
      <w:pPr>
        <w:widowControl/>
        <w:shd w:val="clear" w:color="auto" w:fill="FFFFFF"/>
        <w:spacing w:after="240" w:line="465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3B4485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2025年10月14日</w:t>
      </w:r>
    </w:p>
    <w:p w:rsidR="001571A1" w:rsidRDefault="003B4485"/>
    <w:sectPr w:rsidR="00157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85"/>
    <w:rsid w:val="003440CB"/>
    <w:rsid w:val="003B4485"/>
    <w:rsid w:val="00E1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9A023-8BF3-4A56-BAAD-EAD953EE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91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9842">
          <w:marLeft w:val="450"/>
          <w:marRight w:val="450"/>
          <w:marTop w:val="0"/>
          <w:marBottom w:val="0"/>
          <w:divBdr>
            <w:top w:val="single" w:sz="6" w:space="8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window.print();" TargetMode="External"/><Relationship Id="rId5" Type="http://schemas.openxmlformats.org/officeDocument/2006/relationships/image" Target="media/image1.jpeg"/><Relationship Id="rId4" Type="http://schemas.openxmlformats.org/officeDocument/2006/relationships/hyperlink" Target="javascript:window.print()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571</Characters>
  <Application>Microsoft Office Word</Application>
  <DocSecurity>0</DocSecurity>
  <Lines>4</Lines>
  <Paragraphs>1</Paragraphs>
  <ScaleCrop>false</ScaleCrop>
  <Company>KLJSJ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俊才电脑</dc:creator>
  <cp:keywords/>
  <dc:description/>
  <cp:lastModifiedBy>俊才电脑</cp:lastModifiedBy>
  <cp:revision>1</cp:revision>
  <dcterms:created xsi:type="dcterms:W3CDTF">2025-10-21T00:38:00Z</dcterms:created>
  <dcterms:modified xsi:type="dcterms:W3CDTF">2025-10-21T00:38:00Z</dcterms:modified>
</cp:coreProperties>
</file>